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418"/>
        </w:tabs>
        <w:spacing w:beforeLines="50" w:line="480" w:lineRule="exact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附件8</w:t>
      </w:r>
    </w:p>
    <w:p>
      <w:pPr>
        <w:tabs>
          <w:tab w:val="left" w:pos="1418"/>
        </w:tabs>
        <w:spacing w:beforeLines="50" w:line="480" w:lineRule="exact"/>
        <w:jc w:val="center"/>
        <w:rPr>
          <w:rFonts w:hint="eastAsia" w:ascii="国标小标宋" w:hAnsi="国标小标宋" w:eastAsia="国标小标宋" w:cs="国标小标宋"/>
          <w:b/>
          <w:sz w:val="32"/>
        </w:rPr>
      </w:pPr>
      <w:r>
        <w:rPr>
          <w:rFonts w:hint="eastAsia" w:ascii="国标小标宋" w:hAnsi="国标小标宋" w:eastAsia="国标小标宋" w:cs="国标小标宋"/>
          <w:b w:val="0"/>
          <w:bCs/>
          <w:sz w:val="36"/>
          <w:szCs w:val="28"/>
        </w:rPr>
        <w:t>北京市玉渊潭公园非政府采购综合评分表</w:t>
      </w:r>
    </w:p>
    <w:tbl>
      <w:tblPr>
        <w:tblStyle w:val="2"/>
        <w:tblpPr w:leftFromText="180" w:rightFromText="180" w:vertAnchor="text" w:horzAnchor="page" w:tblpXSpec="center" w:tblpY="207"/>
        <w:tblOverlap w:val="never"/>
        <w:tblW w:w="5774" w:type="pct"/>
        <w:jc w:val="center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2"/>
        <w:gridCol w:w="867"/>
        <w:gridCol w:w="883"/>
        <w:gridCol w:w="637"/>
        <w:gridCol w:w="637"/>
        <w:gridCol w:w="637"/>
        <w:gridCol w:w="72"/>
        <w:gridCol w:w="565"/>
        <w:gridCol w:w="637"/>
        <w:gridCol w:w="637"/>
        <w:gridCol w:w="637"/>
        <w:gridCol w:w="441"/>
        <w:gridCol w:w="196"/>
        <w:gridCol w:w="638"/>
        <w:gridCol w:w="896"/>
      </w:tblGrid>
      <w:tr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2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部门</w:t>
            </w:r>
          </w:p>
        </w:tc>
        <w:tc>
          <w:tcPr>
            <w:tcW w:w="1896" w:type="pct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人力资源科</w:t>
            </w:r>
          </w:p>
        </w:tc>
        <w:tc>
          <w:tcPr>
            <w:tcW w:w="1481" w:type="pct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日期</w:t>
            </w:r>
          </w:p>
        </w:tc>
        <w:tc>
          <w:tcPr>
            <w:tcW w:w="878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采购项目</w:t>
            </w:r>
          </w:p>
        </w:tc>
        <w:tc>
          <w:tcPr>
            <w:tcW w:w="189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全园季度劳保采购</w:t>
            </w:r>
          </w:p>
        </w:tc>
        <w:tc>
          <w:tcPr>
            <w:tcW w:w="148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预算金额</w:t>
            </w:r>
          </w:p>
        </w:tc>
        <w:tc>
          <w:tcPr>
            <w:tcW w:w="87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47.94万元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  <w:lang w:val="en-US" w:eastAsia="zh-CN"/>
              </w:rPr>
              <w:t>部门负责人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  <w:t>周杰</w:t>
            </w: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采购意向公开时间</w:t>
            </w:r>
          </w:p>
        </w:tc>
        <w:tc>
          <w:tcPr>
            <w:tcW w:w="100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  <w:tc>
          <w:tcPr>
            <w:tcW w:w="148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提交响应文件时限</w:t>
            </w:r>
          </w:p>
        </w:tc>
        <w:tc>
          <w:tcPr>
            <w:tcW w:w="87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采购类型：     </w:t>
            </w:r>
            <w:r>
              <w:rPr>
                <w:rFonts w:hint="eastAsia" w:ascii="仿宋" w:hAnsi="仿宋" w:eastAsia="仿宋" w:cs="仿宋"/>
                <w:sz w:val="24"/>
              </w:rPr>
              <w:sym w:font="Wingdings" w:char="00FE"/>
            </w:r>
            <w:r>
              <w:rPr>
                <w:rFonts w:hint="eastAsia" w:ascii="仿宋" w:hAnsi="仿宋" w:eastAsia="仿宋" w:cs="仿宋"/>
                <w:sz w:val="24"/>
              </w:rPr>
              <w:t xml:space="preserve">货物类     </w:t>
            </w:r>
            <w:r>
              <w:rPr>
                <w:rFonts w:hint="eastAsia" w:ascii="仿宋" w:hAnsi="仿宋" w:eastAsia="仿宋" w:cs="仿宋"/>
                <w:sz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</w:rPr>
              <w:t>服务类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</w:rPr>
              <w:t>工程类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42" w:type="pct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供应商</w:t>
            </w:r>
          </w:p>
        </w:tc>
        <w:tc>
          <w:tcPr>
            <w:tcW w:w="3802" w:type="pct"/>
            <w:gridSpan w:val="13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打分项目细则</w:t>
            </w:r>
          </w:p>
        </w:tc>
        <w:tc>
          <w:tcPr>
            <w:tcW w:w="455" w:type="pct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总得分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42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440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</w:rPr>
              <w:t>响应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bCs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</w:rPr>
              <w:t>文件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</w:rPr>
              <w:t>提交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none"/>
              </w:rPr>
              <w:t>时点</w:t>
            </w:r>
          </w:p>
        </w:tc>
        <w:tc>
          <w:tcPr>
            <w:tcW w:w="448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价格         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部分</w:t>
            </w:r>
          </w:p>
        </w:tc>
        <w:tc>
          <w:tcPr>
            <w:tcW w:w="970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商务部分</w:t>
            </w:r>
          </w:p>
        </w:tc>
        <w:tc>
          <w:tcPr>
            <w:tcW w:w="1942" w:type="pct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技术及服务部分</w:t>
            </w:r>
          </w:p>
        </w:tc>
        <w:tc>
          <w:tcPr>
            <w:tcW w:w="455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742" w:type="pct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440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48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2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业绩得分</w:t>
            </w:r>
          </w:p>
        </w:tc>
        <w:tc>
          <w:tcPr>
            <w:tcW w:w="32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体系认证</w:t>
            </w:r>
          </w:p>
        </w:tc>
        <w:tc>
          <w:tcPr>
            <w:tcW w:w="32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安全保护</w:t>
            </w:r>
          </w:p>
        </w:tc>
        <w:tc>
          <w:tcPr>
            <w:tcW w:w="323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货源质量</w:t>
            </w:r>
          </w:p>
        </w:tc>
        <w:tc>
          <w:tcPr>
            <w:tcW w:w="32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应急保障</w:t>
            </w:r>
          </w:p>
        </w:tc>
        <w:tc>
          <w:tcPr>
            <w:tcW w:w="32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平台搭建</w:t>
            </w:r>
          </w:p>
        </w:tc>
        <w:tc>
          <w:tcPr>
            <w:tcW w:w="32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退换货</w:t>
            </w:r>
          </w:p>
        </w:tc>
        <w:tc>
          <w:tcPr>
            <w:tcW w:w="323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配送服务</w:t>
            </w:r>
          </w:p>
        </w:tc>
        <w:tc>
          <w:tcPr>
            <w:tcW w:w="324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售前售后</w:t>
            </w:r>
          </w:p>
        </w:tc>
        <w:tc>
          <w:tcPr>
            <w:tcW w:w="455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742" w:type="pc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44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448" w:type="pct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4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455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742" w:type="pc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440" w:type="pct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448" w:type="pct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4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455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742" w:type="pc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440" w:type="pct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448" w:type="pct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3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4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455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42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评分人</w:t>
            </w:r>
          </w:p>
        </w:tc>
        <w:tc>
          <w:tcPr>
            <w:tcW w:w="4257" w:type="pct"/>
            <w:gridSpan w:val="1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42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  <w:tc>
          <w:tcPr>
            <w:tcW w:w="4257" w:type="pct"/>
            <w:gridSpan w:val="1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numPr>
          <w:ilvl w:val="0"/>
          <w:numId w:val="0"/>
        </w:numPr>
        <w:spacing w:line="0" w:lineRule="atLeast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CESI仿宋-GB2312" w:hAnsi="CESI仿宋-GB2312" w:eastAsia="CESI仿宋-GB2312" w:cs="CESI仿宋-GB2312"/>
          <w:sz w:val="28"/>
          <w:szCs w:val="28"/>
        </w:rPr>
      </w:pPr>
      <w:r>
        <w:rPr>
          <w:rFonts w:hint="eastAsia" w:ascii="CESI仿宋-GB2312" w:hAnsi="CESI仿宋-GB2312" w:eastAsia="CESI仿宋-GB2312" w:cs="CESI仿宋-GB2312"/>
          <w:sz w:val="28"/>
          <w:szCs w:val="28"/>
          <w:lang w:val="en-US" w:eastAsia="zh-CN"/>
        </w:rPr>
        <w:t>1.</w:t>
      </w:r>
      <w:r>
        <w:rPr>
          <w:rFonts w:hint="eastAsia" w:ascii="CESI仿宋-GB2312" w:hAnsi="CESI仿宋-GB2312" w:eastAsia="CESI仿宋-GB2312" w:cs="CESI仿宋-GB2312"/>
          <w:sz w:val="28"/>
          <w:szCs w:val="28"/>
        </w:rPr>
        <w:t>综合评分内容应至少涵盖技术、商务、财务三部分。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CESI仿宋-GB2312" w:hAnsi="CESI仿宋-GB2312" w:eastAsia="CESI仿宋-GB2312" w:cs="CESI仿宋-GB2312"/>
          <w:sz w:val="28"/>
          <w:szCs w:val="28"/>
        </w:rPr>
      </w:pPr>
      <w:r>
        <w:rPr>
          <w:rFonts w:hint="eastAsia" w:ascii="CESI仿宋-GB2312" w:hAnsi="CESI仿宋-GB2312" w:eastAsia="CESI仿宋-GB2312" w:cs="CESI仿宋-GB2312"/>
          <w:sz w:val="28"/>
          <w:szCs w:val="28"/>
          <w:lang w:val="en-US" w:eastAsia="zh-CN"/>
        </w:rPr>
        <w:t>2.</w:t>
      </w:r>
      <w:r>
        <w:rPr>
          <w:rFonts w:hint="eastAsia" w:ascii="CESI仿宋-GB2312" w:hAnsi="CESI仿宋-GB2312" w:eastAsia="CESI仿宋-GB2312" w:cs="CESI仿宋-GB2312"/>
          <w:sz w:val="28"/>
          <w:szCs w:val="28"/>
        </w:rPr>
        <w:t>综合评分体系应明确量化指标，评分内容应按照具体组成部分分别列明量化指标名称，并单列分值，减少主观分占比。综合评分打分中技术标准、商务服务和价格等内容客观分占比进行约定。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CESI仿宋-GB2312" w:hAnsi="CESI仿宋-GB2312" w:eastAsia="CESI仿宋-GB2312" w:cs="CESI仿宋-GB2312"/>
          <w:sz w:val="28"/>
          <w:szCs w:val="28"/>
        </w:rPr>
      </w:pPr>
      <w:r>
        <w:rPr>
          <w:rFonts w:hint="eastAsia" w:ascii="CESI仿宋-GB2312" w:hAnsi="CESI仿宋-GB2312" w:eastAsia="CESI仿宋-GB2312" w:cs="CESI仿宋-GB2312"/>
          <w:sz w:val="28"/>
          <w:szCs w:val="28"/>
          <w:lang w:val="en-US" w:eastAsia="zh-CN"/>
        </w:rPr>
        <w:t>3.</w:t>
      </w:r>
      <w:r>
        <w:rPr>
          <w:rFonts w:hint="eastAsia" w:ascii="CESI仿宋-GB2312" w:hAnsi="CESI仿宋-GB2312" w:eastAsia="CESI仿宋-GB2312" w:cs="CESI仿宋-GB2312"/>
          <w:sz w:val="28"/>
          <w:szCs w:val="28"/>
        </w:rPr>
        <w:t>评分体系中货物项目的价格分值占比不得低于30%，不得高于60%。工程及服务项目的价格分值占比不得低于10%，不得高于30%。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CESI仿宋-GB2312" w:hAnsi="CESI仿宋-GB2312" w:eastAsia="CESI仿宋-GB2312" w:cs="CESI仿宋-GB2312"/>
          <w:sz w:val="28"/>
          <w:szCs w:val="28"/>
        </w:rPr>
      </w:pPr>
    </w:p>
    <w:p>
      <w:pPr>
        <w:spacing w:line="0" w:lineRule="atLeast"/>
        <w:jc w:val="left"/>
        <w:rPr>
          <w:rFonts w:hint="eastAsia" w:ascii="CESI仿宋-GB2312" w:hAnsi="CESI仿宋-GB2312" w:eastAsia="CESI仿宋-GB2312" w:cs="CESI仿宋-GB2312"/>
          <w:sz w:val="28"/>
          <w:szCs w:val="28"/>
        </w:rPr>
      </w:pPr>
    </w:p>
    <w:p>
      <w:pP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br w:type="page"/>
      </w:r>
    </w:p>
    <w:p>
      <w:pPr>
        <w:tabs>
          <w:tab w:val="left" w:pos="1418"/>
        </w:tabs>
        <w:spacing w:beforeLines="50" w:line="480" w:lineRule="exact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附件9</w:t>
      </w:r>
    </w:p>
    <w:p>
      <w:pPr>
        <w:tabs>
          <w:tab w:val="left" w:pos="1418"/>
        </w:tabs>
        <w:spacing w:beforeLines="50" w:line="480" w:lineRule="exact"/>
        <w:jc w:val="center"/>
        <w:rPr>
          <w:rFonts w:hint="eastAsia" w:ascii="国标小标宋" w:hAnsi="国标小标宋" w:eastAsia="国标小标宋" w:cs="国标小标宋"/>
          <w:b w:val="0"/>
          <w:bCs/>
          <w:kern w:val="0"/>
          <w:sz w:val="36"/>
          <w:szCs w:val="36"/>
        </w:rPr>
      </w:pPr>
      <w:r>
        <w:rPr>
          <w:rFonts w:hint="eastAsia" w:ascii="国标小标宋" w:hAnsi="国标小标宋" w:eastAsia="国标小标宋" w:cs="国标小标宋"/>
          <w:b w:val="0"/>
          <w:bCs/>
          <w:kern w:val="0"/>
          <w:sz w:val="36"/>
          <w:szCs w:val="36"/>
        </w:rPr>
        <w:t>北京市玉渊潭公园非政府采购评分汇总表</w:t>
      </w:r>
    </w:p>
    <w:p>
      <w:pPr>
        <w:tabs>
          <w:tab w:val="left" w:pos="1418"/>
        </w:tabs>
        <w:spacing w:beforeLines="50" w:line="480" w:lineRule="exact"/>
        <w:jc w:val="left"/>
        <w:rPr>
          <w:rFonts w:hint="eastAsia" w:ascii="CESI仿宋-GB2312" w:hAnsi="CESI仿宋-GB2312" w:eastAsia="CESI仿宋-GB2312" w:cs="CESI仿宋-GB2312"/>
          <w:bCs/>
          <w:kern w:val="0"/>
          <w:sz w:val="28"/>
          <w:szCs w:val="28"/>
        </w:rPr>
      </w:pPr>
      <w:r>
        <w:rPr>
          <w:rFonts w:hint="eastAsia" w:ascii="CESI仿宋-GB2312" w:hAnsi="CESI仿宋-GB2312" w:eastAsia="CESI仿宋-GB2312" w:cs="CESI仿宋-GB2312"/>
          <w:sz w:val="24"/>
          <w:lang w:eastAsia="zh-CN"/>
        </w:rPr>
        <w:t xml:space="preserve">项目名称：全园季度劳保采购          </w:t>
      </w:r>
      <w:r>
        <w:rPr>
          <w:rFonts w:hint="eastAsia" w:ascii="CESI仿宋-GB2312" w:hAnsi="CESI仿宋-GB2312" w:eastAsia="CESI仿宋-GB2312" w:cs="CESI仿宋-GB2312"/>
          <w:sz w:val="24"/>
          <w:lang w:val="en-US" w:eastAsia="zh-CN"/>
        </w:rPr>
        <w:t xml:space="preserve">     </w:t>
      </w:r>
      <w:r>
        <w:rPr>
          <w:rFonts w:hint="eastAsia" w:ascii="CESI仿宋-GB2312" w:hAnsi="CESI仿宋-GB2312" w:eastAsia="CESI仿宋-GB2312" w:cs="CESI仿宋-GB2312"/>
          <w:sz w:val="24"/>
          <w:lang w:eastAsia="zh-CN"/>
        </w:rPr>
        <w:t xml:space="preserve">   日期：</w:t>
      </w:r>
      <w:r>
        <w:rPr>
          <w:rFonts w:hint="eastAsia" w:ascii="CESI仿宋-GB2312" w:hAnsi="CESI仿宋-GB2312" w:eastAsia="CESI仿宋-GB2312" w:cs="CESI仿宋-GB2312"/>
          <w:sz w:val="24"/>
          <w:lang w:val="en-US" w:eastAsia="zh-CN"/>
        </w:rPr>
        <w:t>202  年  月  日</w:t>
      </w:r>
      <w:r>
        <w:rPr>
          <w:rFonts w:hint="eastAsia" w:ascii="CESI仿宋-GB2312" w:hAnsi="CESI仿宋-GB2312" w:eastAsia="CESI仿宋-GB2312" w:cs="CESI仿宋-GB2312"/>
          <w:sz w:val="24"/>
          <w:lang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Cs/>
          <w:kern w:val="0"/>
          <w:sz w:val="28"/>
          <w:szCs w:val="28"/>
        </w:rPr>
        <w:t xml:space="preserve">          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1673"/>
        <w:gridCol w:w="1372"/>
        <w:gridCol w:w="1372"/>
        <w:gridCol w:w="1373"/>
        <w:gridCol w:w="1175"/>
        <w:gridCol w:w="10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  <w:t>序号</w:t>
            </w:r>
          </w:p>
        </w:tc>
        <w:tc>
          <w:tcPr>
            <w:tcW w:w="167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  <w:t>供应商名称</w:t>
            </w:r>
          </w:p>
        </w:tc>
        <w:tc>
          <w:tcPr>
            <w:tcW w:w="4117" w:type="dxa"/>
            <w:gridSpan w:val="3"/>
          </w:tcPr>
          <w:p>
            <w:pPr>
              <w:widowControl/>
              <w:jc w:val="center"/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  <w:t>评分明细</w:t>
            </w:r>
          </w:p>
        </w:tc>
        <w:tc>
          <w:tcPr>
            <w:tcW w:w="117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  <w:t>总得分</w:t>
            </w:r>
          </w:p>
        </w:tc>
        <w:tc>
          <w:tcPr>
            <w:tcW w:w="102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  <w:t>评分排序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0" w:type="dxa"/>
            <w:vMerge w:val="continue"/>
          </w:tcPr>
          <w:p>
            <w:pPr>
              <w:widowControl/>
              <w:jc w:val="left"/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</w:rPr>
            </w:pPr>
          </w:p>
        </w:tc>
        <w:tc>
          <w:tcPr>
            <w:tcW w:w="1673" w:type="dxa"/>
            <w:vMerge w:val="continue"/>
          </w:tcPr>
          <w:p>
            <w:pPr>
              <w:widowControl/>
              <w:jc w:val="left"/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</w:rPr>
            </w:pPr>
          </w:p>
        </w:tc>
        <w:tc>
          <w:tcPr>
            <w:tcW w:w="137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  <w:t>价格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8"/>
                <w:szCs w:val="28"/>
                <w:lang w:eastAsia="zh-CN"/>
              </w:rPr>
              <w:t>平均</w:t>
            </w:r>
            <w:r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  <w:t>分</w:t>
            </w:r>
          </w:p>
        </w:tc>
        <w:tc>
          <w:tcPr>
            <w:tcW w:w="137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8"/>
                <w:szCs w:val="28"/>
                <w:lang w:eastAsia="zh-CN"/>
              </w:rPr>
              <w:t>商务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8"/>
                <w:szCs w:val="28"/>
                <w:lang w:eastAsia="zh-CN"/>
              </w:rPr>
              <w:t>平均</w:t>
            </w:r>
            <w:r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  <w:t>分</w:t>
            </w:r>
          </w:p>
        </w:tc>
        <w:tc>
          <w:tcPr>
            <w:tcW w:w="137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8"/>
                <w:szCs w:val="28"/>
                <w:lang w:eastAsia="zh-CN"/>
              </w:rPr>
              <w:t>技术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8"/>
                <w:szCs w:val="28"/>
                <w:lang w:eastAsia="zh-CN"/>
              </w:rPr>
              <w:t>平均分</w:t>
            </w:r>
          </w:p>
        </w:tc>
        <w:tc>
          <w:tcPr>
            <w:tcW w:w="1175" w:type="dxa"/>
            <w:vMerge w:val="continue"/>
          </w:tcPr>
          <w:p>
            <w:pPr>
              <w:widowControl/>
              <w:jc w:val="left"/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</w:rPr>
            </w:pPr>
          </w:p>
        </w:tc>
        <w:tc>
          <w:tcPr>
            <w:tcW w:w="1027" w:type="dxa"/>
            <w:vMerge w:val="continue"/>
          </w:tcPr>
          <w:p>
            <w:pPr>
              <w:widowControl/>
              <w:jc w:val="left"/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0" w:type="dxa"/>
            <w:vAlign w:val="center"/>
          </w:tcPr>
          <w:p>
            <w:pPr>
              <w:widowControl/>
              <w:jc w:val="center"/>
              <w:rPr>
                <w:rFonts w:hint="eastAsia" w:ascii="国标黑体" w:hAnsi="国标黑体" w:eastAsia="国标黑体" w:cs="国标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7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</w:pPr>
          </w:p>
        </w:tc>
        <w:tc>
          <w:tcPr>
            <w:tcW w:w="1372" w:type="dxa"/>
            <w:vAlign w:val="center"/>
          </w:tcPr>
          <w:p>
            <w:pPr>
              <w:widowControl/>
              <w:jc w:val="center"/>
              <w:rPr>
                <w:rFonts w:hint="default" w:ascii="CESI仿宋-GB2312" w:hAnsi="CESI仿宋-GB2312" w:eastAsia="CESI仿宋-GB2312" w:cs="CESI仿宋-GB2312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>
            <w:pPr>
              <w:widowControl/>
              <w:jc w:val="center"/>
              <w:rPr>
                <w:rFonts w:hint="default" w:ascii="CESI仿宋-GB2312" w:hAnsi="CESI仿宋-GB2312" w:eastAsia="CESI仿宋-GB2312" w:cs="CESI仿宋-GB2312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373" w:type="dxa"/>
            <w:vAlign w:val="center"/>
          </w:tcPr>
          <w:p>
            <w:pPr>
              <w:widowControl/>
              <w:jc w:val="center"/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rPr>
                <w:rFonts w:hint="default" w:ascii="CESI仿宋-GB2312" w:hAnsi="CESI仿宋-GB2312" w:eastAsia="CESI仿宋-GB2312" w:cs="CESI仿宋-GB2312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027" w:type="dxa"/>
            <w:vAlign w:val="center"/>
          </w:tcPr>
          <w:p>
            <w:pPr>
              <w:widowControl/>
              <w:jc w:val="center"/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30" w:type="dxa"/>
            <w:vAlign w:val="center"/>
          </w:tcPr>
          <w:p>
            <w:pPr>
              <w:widowControl/>
              <w:jc w:val="center"/>
              <w:rPr>
                <w:rFonts w:hint="eastAsia" w:ascii="国标黑体" w:hAnsi="国标黑体" w:eastAsia="国标黑体" w:cs="国标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7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</w:pPr>
          </w:p>
        </w:tc>
        <w:tc>
          <w:tcPr>
            <w:tcW w:w="1372" w:type="dxa"/>
            <w:vAlign w:val="center"/>
          </w:tcPr>
          <w:p>
            <w:pPr>
              <w:widowControl/>
              <w:jc w:val="center"/>
              <w:rPr>
                <w:rFonts w:hint="default" w:ascii="CESI仿宋-GB2312" w:hAnsi="CESI仿宋-GB2312" w:eastAsia="CESI仿宋-GB2312" w:cs="CESI仿宋-GB2312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>
            <w:pPr>
              <w:widowControl/>
              <w:jc w:val="center"/>
              <w:rPr>
                <w:rFonts w:hint="default" w:ascii="CESI仿宋-GB2312" w:hAnsi="CESI仿宋-GB2312" w:eastAsia="CESI仿宋-GB2312" w:cs="CESI仿宋-GB2312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373" w:type="dxa"/>
            <w:vAlign w:val="center"/>
          </w:tcPr>
          <w:p>
            <w:pPr>
              <w:widowControl/>
              <w:jc w:val="center"/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rPr>
                <w:rFonts w:hint="default" w:ascii="CESI仿宋-GB2312" w:hAnsi="CESI仿宋-GB2312" w:eastAsia="CESI仿宋-GB2312" w:cs="CESI仿宋-GB2312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027" w:type="dxa"/>
            <w:vAlign w:val="center"/>
          </w:tcPr>
          <w:p>
            <w:pPr>
              <w:widowControl/>
              <w:jc w:val="center"/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0" w:type="dxa"/>
            <w:vAlign w:val="center"/>
          </w:tcPr>
          <w:p>
            <w:pPr>
              <w:widowControl/>
              <w:jc w:val="center"/>
              <w:rPr>
                <w:rFonts w:hint="eastAsia" w:ascii="国标黑体" w:hAnsi="国标黑体" w:eastAsia="国标黑体" w:cs="国标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67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国标黑体" w:hAnsi="国标黑体" w:eastAsia="国标黑体" w:cs="国标黑体"/>
                <w:bCs/>
                <w:sz w:val="28"/>
                <w:szCs w:val="28"/>
              </w:rPr>
            </w:pPr>
          </w:p>
        </w:tc>
        <w:tc>
          <w:tcPr>
            <w:tcW w:w="1372" w:type="dxa"/>
            <w:vAlign w:val="center"/>
          </w:tcPr>
          <w:p>
            <w:pPr>
              <w:widowControl/>
              <w:jc w:val="center"/>
              <w:rPr>
                <w:rFonts w:hint="default" w:ascii="CESI仿宋-GB2312" w:hAnsi="CESI仿宋-GB2312" w:eastAsia="CESI仿宋-GB2312" w:cs="CESI仿宋-GB2312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>
            <w:pPr>
              <w:widowControl/>
              <w:jc w:val="center"/>
              <w:rPr>
                <w:rFonts w:hint="default" w:ascii="CESI仿宋-GB2312" w:hAnsi="CESI仿宋-GB2312" w:eastAsia="CESI仿宋-GB2312" w:cs="CESI仿宋-GB2312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373" w:type="dxa"/>
            <w:vAlign w:val="center"/>
          </w:tcPr>
          <w:p>
            <w:pPr>
              <w:widowControl/>
              <w:jc w:val="center"/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75" w:type="dxa"/>
            <w:vAlign w:val="center"/>
          </w:tcPr>
          <w:p>
            <w:pPr>
              <w:widowControl/>
              <w:jc w:val="center"/>
              <w:rPr>
                <w:rFonts w:hint="default" w:ascii="CESI仿宋-GB2312" w:hAnsi="CESI仿宋-GB2312" w:eastAsia="CESI仿宋-GB2312" w:cs="CESI仿宋-GB2312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027" w:type="dxa"/>
            <w:vAlign w:val="center"/>
          </w:tcPr>
          <w:p>
            <w:pPr>
              <w:widowControl/>
              <w:jc w:val="center"/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8522" w:type="dxa"/>
            <w:gridSpan w:val="7"/>
          </w:tcPr>
          <w:p>
            <w:pPr>
              <w:widowControl/>
              <w:jc w:val="left"/>
              <w:rPr>
                <w:rFonts w:hint="eastAsia" w:ascii="CESI仿宋-GB2312" w:hAnsi="CESI仿宋-GB2312" w:eastAsia="CESI仿宋-GB2312" w:cs="CESI仿宋-GB2312"/>
                <w:bCs/>
                <w:sz w:val="28"/>
                <w:szCs w:val="28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 w:val="0"/>
                <w:sz w:val="28"/>
                <w:szCs w:val="28"/>
              </w:rPr>
              <w:t>中标结果：</w:t>
            </w:r>
          </w:p>
        </w:tc>
      </w:tr>
    </w:tbl>
    <w:p>
      <w:pPr>
        <w:widowControl/>
        <w:jc w:val="left"/>
        <w:rPr>
          <w:rFonts w:hint="default" w:ascii="仿宋" w:hAnsi="仿宋" w:eastAsia="仿宋" w:cs="仿宋"/>
          <w:bCs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  <w:lang w:val="en-US" w:eastAsia="zh-CN"/>
        </w:rPr>
        <w:t xml:space="preserve">部门负责人签字：                     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</w:rPr>
        <w:t>日期：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  <w:lang w:val="en-US" w:eastAsia="zh-CN"/>
        </w:rPr>
        <w:t xml:space="preserve">202 </w:t>
      </w:r>
      <w:bookmarkStart w:id="0" w:name="_GoBack"/>
      <w:bookmarkEnd w:id="0"/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</w:rPr>
        <w:t xml:space="preserve"> 年   月   日</w:t>
      </w:r>
    </w:p>
    <w:p>
      <w:pPr>
        <w:widowControl/>
        <w:jc w:val="left"/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  <w:lang w:val="en-US" w:eastAsia="zh-CN"/>
        </w:rPr>
      </w:pPr>
    </w:p>
    <w:p>
      <w:pPr>
        <w:widowControl/>
        <w:jc w:val="left"/>
        <w:rPr>
          <w:rFonts w:hint="eastAsia" w:ascii="仿宋" w:hAnsi="仿宋" w:eastAsia="仿宋" w:cs="仿宋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  <w:lang w:val="en-US" w:eastAsia="zh-CN"/>
        </w:rPr>
        <w:t>复核人绩效审计科：</w:t>
      </w:r>
    </w:p>
    <w:p>
      <w:pPr>
        <w:widowControl/>
        <w:ind w:left="0" w:leftChars="0" w:firstLine="840" w:firstLineChars="300"/>
        <w:jc w:val="left"/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</w:rPr>
      </w:pP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  <w:lang w:val="en-US" w:eastAsia="zh-CN"/>
        </w:rPr>
        <w:t xml:space="preserve">纪委办公室： </w:t>
      </w:r>
      <w:r>
        <w:rPr>
          <w:rFonts w:hint="eastAsia" w:ascii="仿宋" w:hAnsi="仿宋" w:eastAsia="仿宋" w:cs="仿宋"/>
          <w:bCs/>
          <w:color w:val="auto"/>
          <w:sz w:val="32"/>
          <w:szCs w:val="32"/>
          <w:highlight w:val="none"/>
          <w:u w:val="non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  <w:lang w:val="en-US" w:eastAsia="zh-CN"/>
        </w:rPr>
        <w:t xml:space="preserve">复核日期：   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</w:rPr>
        <w:t>年   月   日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</w:rPr>
        <w:t xml:space="preserve"> 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</w:rPr>
        <w:t xml:space="preserve"> </w:t>
      </w:r>
    </w:p>
    <w:p>
      <w:pPr>
        <w:widowControl/>
        <w:jc w:val="left"/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  <w:lang w:val="en-US" w:eastAsia="zh-CN"/>
        </w:rPr>
      </w:pPr>
    </w:p>
    <w:p>
      <w:pPr>
        <w:widowControl/>
        <w:jc w:val="left"/>
        <w:rPr>
          <w:rFonts w:hint="default" w:ascii="仿宋" w:hAnsi="仿宋" w:eastAsia="仿宋" w:cs="仿宋"/>
          <w:bCs/>
          <w:color w:val="FF0000"/>
          <w:sz w:val="28"/>
          <w:szCs w:val="28"/>
          <w:highlight w:val="yellow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采购部门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  <w:lang w:val="en-US" w:eastAsia="zh-CN"/>
        </w:rPr>
        <w:t xml:space="preserve">主管领导签字：                  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u w:val="none"/>
        </w:rPr>
        <w:t>日期</w:t>
      </w:r>
      <w:r>
        <w:rPr>
          <w:rFonts w:hint="eastAsia" w:ascii="仿宋" w:hAnsi="仿宋" w:eastAsia="仿宋" w:cs="仿宋"/>
          <w:bCs/>
          <w:sz w:val="28"/>
          <w:szCs w:val="28"/>
        </w:rPr>
        <w:t>：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仿宋">
    <w:altName w:val="文泉驿微米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3F7F88EB"/>
    <w:rsid w:val="4A1947CF"/>
    <w:rsid w:val="7793EC1B"/>
    <w:rsid w:val="DFBE76DC"/>
    <w:rsid w:val="EE47B0B1"/>
    <w:rsid w:val="EF18E5FE"/>
    <w:rsid w:val="EFDD848C"/>
    <w:rsid w:val="FD8F8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2018-07-12T23:11:00Z</dcterms:created>
  <dc:creator>d</dc:creator>
  <cp:lastModifiedBy>迷途D_boy</cp:lastModifiedBy>
  <cp:lastPrinted>2025-10-31T08:48:00Z</cp:lastPrinted>
  <dcterms:modified xsi:type="dcterms:W3CDTF">2026-09-07T11:43:00Z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</Properties>
</file>